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7AFC5E7D"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EA297A">
        <w:rPr>
          <w:noProof/>
          <w:sz w:val="32"/>
          <w:szCs w:val="32"/>
        </w:rPr>
        <w:t>6</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7672E7F2"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w:t>
        </w:r>
        <w:r w:rsidRPr="000E68A1">
          <w:rPr>
            <w:rStyle w:val="Hyperlink"/>
            <w:rFonts w:cstheme="minorHAnsi"/>
            <w:sz w:val="28"/>
            <w:szCs w:val="28"/>
            <w:highlight w:val="yellow"/>
          </w:rPr>
          <w:t>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7763E8CE" w:rsidR="00947A77" w:rsidRDefault="00947A77" w:rsidP="00CD6528">
      <w:pPr>
        <w:pStyle w:val="NoSpacing"/>
        <w:rPr>
          <w:b/>
          <w:bCs/>
          <w:sz w:val="24"/>
          <w:szCs w:val="24"/>
          <w:u w:val="single"/>
        </w:rPr>
      </w:pPr>
      <w:r w:rsidRPr="00947A77">
        <w:rPr>
          <w:b/>
          <w:bCs/>
          <w:sz w:val="24"/>
          <w:szCs w:val="24"/>
          <w:u w:val="single"/>
        </w:rPr>
        <w:t>Medical-Dental-Vision-Life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w:t>
      </w:r>
      <w:proofErr w:type="gramStart"/>
      <w:r w:rsidR="00B92130" w:rsidRPr="00183752">
        <w:rPr>
          <w:sz w:val="24"/>
          <w:szCs w:val="24"/>
        </w:rPr>
        <w:t>EPC‘</w:t>
      </w:r>
      <w:proofErr w:type="gramEnd"/>
      <w:r w:rsidR="00B92130" w:rsidRPr="00183752">
        <w:rPr>
          <w:sz w:val="24"/>
          <w:szCs w:val="24"/>
        </w:rPr>
        <w:t xml:space="preserve">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2A1CE5E3"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rPr>
          <w:sz w:val="24"/>
          <w:szCs w:val="24"/>
        </w:rPr>
      </w:pPr>
      <w:r w:rsidRPr="00183752">
        <w:rPr>
          <w:sz w:val="24"/>
          <w:szCs w:val="24"/>
        </w:rPr>
        <w:fldChar w:fldCharType="end"/>
      </w:r>
    </w:p>
    <w:p w14:paraId="54482D94" w14:textId="7DD29E1E" w:rsidR="00EA297A" w:rsidRDefault="00EA297A" w:rsidP="00EA297A">
      <w:pPr>
        <w:pStyle w:val="NoSpacing"/>
        <w:rPr>
          <w:sz w:val="24"/>
          <w:szCs w:val="24"/>
        </w:rPr>
      </w:pPr>
      <w:r>
        <w:rPr>
          <w:sz w:val="24"/>
          <w:szCs w:val="24"/>
        </w:rPr>
        <w:t xml:space="preserve">If you need assistance with the </w:t>
      </w:r>
      <w:proofErr w:type="gramStart"/>
      <w:r>
        <w:rPr>
          <w:sz w:val="24"/>
          <w:szCs w:val="24"/>
        </w:rPr>
        <w:t>user name</w:t>
      </w:r>
      <w:proofErr w:type="gramEnd"/>
      <w:r>
        <w:rPr>
          <w:sz w:val="24"/>
          <w:szCs w:val="24"/>
        </w:rPr>
        <w:t xml:space="preserve"> and password, contact someone in your Treasurer’s Office.</w:t>
      </w:r>
    </w:p>
    <w:p w14:paraId="303E7BBC" w14:textId="77777777" w:rsidR="00EA297A" w:rsidRDefault="00EA297A" w:rsidP="00EA297A">
      <w:pPr>
        <w:pStyle w:val="NoSpacing"/>
      </w:pPr>
    </w:p>
    <w:p w14:paraId="0C230A51" w14:textId="4C12C6D0" w:rsidR="00CD6528" w:rsidRDefault="00CD6528" w:rsidP="00CD6528">
      <w:pPr>
        <w:rPr>
          <w:rFonts w:cstheme="minorHAnsi"/>
          <w:sz w:val="24"/>
          <w:szCs w:val="24"/>
        </w:rPr>
      </w:pPr>
      <w:r w:rsidRPr="00E27764">
        <w:rPr>
          <w:rFonts w:cstheme="minorHAnsi"/>
          <w:sz w:val="24"/>
          <w:szCs w:val="24"/>
        </w:rPr>
        <w:lastRenderedPageBreak/>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49B7FF80" w14:textId="77777777" w:rsidR="00371808" w:rsidRDefault="00371808" w:rsidP="00CD6528">
      <w:pPr>
        <w:rPr>
          <w:rFonts w:cstheme="minorHAnsi"/>
          <w:b/>
          <w:sz w:val="36"/>
          <w:szCs w:val="36"/>
        </w:rPr>
      </w:pPr>
    </w:p>
    <w:p w14:paraId="26B6E824" w14:textId="20BB3A4A"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53723A2F" w14:textId="2A720B41"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r w:rsidR="00A67EE5">
        <w:rPr>
          <w:rFonts w:cstheme="minorHAnsi"/>
          <w:sz w:val="24"/>
          <w:szCs w:val="24"/>
        </w:rPr>
        <w:t>.</w:t>
      </w:r>
    </w:p>
    <w:p w14:paraId="0772314D" w14:textId="0246B5F8" w:rsidR="00A67EE5" w:rsidRDefault="00A67EE5" w:rsidP="009521EE">
      <w:pPr>
        <w:ind w:left="720"/>
        <w:rPr>
          <w:rFonts w:cstheme="minorHAnsi"/>
          <w:sz w:val="24"/>
          <w:szCs w:val="24"/>
        </w:rPr>
      </w:pPr>
      <w:r>
        <w:rPr>
          <w:rFonts w:cstheme="minorHAnsi"/>
          <w:b/>
          <w:sz w:val="24"/>
          <w:szCs w:val="24"/>
        </w:rPr>
        <w:t xml:space="preserve">Spousal Coordination of Benefits Form </w:t>
      </w:r>
      <w:r>
        <w:rPr>
          <w:rFonts w:cstheme="minorHAnsi"/>
          <w:sz w:val="24"/>
          <w:szCs w:val="24"/>
        </w:rPr>
        <w:t xml:space="preserve">– </w:t>
      </w:r>
      <w:r w:rsidR="001275FF">
        <w:rPr>
          <w:rFonts w:cstheme="minorHAnsi"/>
          <w:sz w:val="24"/>
          <w:szCs w:val="24"/>
        </w:rPr>
        <w:t>Complete</w:t>
      </w:r>
      <w:r>
        <w:rPr>
          <w:rFonts w:cstheme="minorHAnsi"/>
          <w:sz w:val="24"/>
          <w:szCs w:val="24"/>
        </w:rPr>
        <w:t xml:space="preserve"> if your spouse will be taking our insurance, either primary or secondary.  If your spouse is eligible for insurance through his/her workplace or retirement system, they must take that insurance and will be covered under our insurance as secondary. </w:t>
      </w:r>
    </w:p>
    <w:p w14:paraId="769E57FD" w14:textId="77777777" w:rsidR="00A67EE5" w:rsidRDefault="00A67EE5" w:rsidP="009521EE">
      <w:pPr>
        <w:ind w:left="720"/>
        <w:rPr>
          <w:rFonts w:cstheme="minorHAnsi"/>
          <w:b/>
          <w:sz w:val="24"/>
          <w:szCs w:val="24"/>
        </w:rPr>
      </w:pPr>
    </w:p>
    <w:p w14:paraId="7E0A2D92" w14:textId="77777777" w:rsidR="00A67EE5" w:rsidRDefault="00A67EE5" w:rsidP="009521EE">
      <w:pPr>
        <w:ind w:left="720"/>
        <w:rPr>
          <w:rFonts w:cstheme="minorHAnsi"/>
          <w:b/>
          <w:sz w:val="24"/>
          <w:szCs w:val="24"/>
        </w:rPr>
      </w:pPr>
    </w:p>
    <w:p w14:paraId="602F09F2" w14:textId="33A28D0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lastRenderedPageBreak/>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F63575C" w14:textId="77777777" w:rsidR="0029485D" w:rsidRDefault="001C2757" w:rsidP="00A56570">
      <w:pPr>
        <w:jc w:val="center"/>
        <w:rPr>
          <w:rFonts w:cstheme="minorHAnsi"/>
          <w:bCs/>
          <w:sz w:val="24"/>
          <w:szCs w:val="24"/>
        </w:rP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p>
    <w:p w14:paraId="6C7B4A28" w14:textId="77777777" w:rsidR="0029485D" w:rsidRDefault="0029485D" w:rsidP="00A56570">
      <w:pPr>
        <w:jc w:val="center"/>
        <w:rPr>
          <w:rFonts w:cstheme="minorHAnsi"/>
          <w:bCs/>
          <w:sz w:val="24"/>
          <w:szCs w:val="24"/>
        </w:rPr>
      </w:pPr>
    </w:p>
    <w:p w14:paraId="29CB0E49" w14:textId="77777777" w:rsidR="0029485D" w:rsidRDefault="0029485D" w:rsidP="00A56570">
      <w:pPr>
        <w:jc w:val="center"/>
        <w:rPr>
          <w:rFonts w:cstheme="minorHAnsi"/>
          <w:bCs/>
          <w:sz w:val="24"/>
          <w:szCs w:val="24"/>
        </w:rPr>
      </w:pPr>
    </w:p>
    <w:p w14:paraId="6DEFD7E4" w14:textId="4DAA1E04" w:rsidR="0029485D" w:rsidRDefault="0029485D" w:rsidP="0029485D">
      <w:pPr>
        <w:rPr>
          <w:rFonts w:cstheme="minorHAnsi"/>
          <w:b/>
          <w:bCs/>
          <w:sz w:val="36"/>
          <w:szCs w:val="36"/>
        </w:rPr>
      </w:pPr>
      <w:r>
        <w:rPr>
          <w:rFonts w:cstheme="minorHAnsi"/>
          <w:b/>
          <w:bCs/>
          <w:sz w:val="36"/>
          <w:szCs w:val="36"/>
        </w:rPr>
        <w:lastRenderedPageBreak/>
        <w:t>2025 Monthly Insurance Rates</w:t>
      </w:r>
    </w:p>
    <w:p w14:paraId="3DC6A0C4" w14:textId="77777777" w:rsidR="0029485D" w:rsidRDefault="0029485D" w:rsidP="0029485D">
      <w:pPr>
        <w:rPr>
          <w:rFonts w:cstheme="minorHAnsi"/>
          <w:b/>
          <w:bCs/>
          <w:sz w:val="36"/>
          <w:szCs w:val="36"/>
        </w:rPr>
      </w:pPr>
    </w:p>
    <w:p w14:paraId="43F740C5" w14:textId="66125DCA" w:rsidR="0029485D" w:rsidRDefault="0029485D" w:rsidP="0029485D">
      <w:pPr>
        <w:rPr>
          <w:rFonts w:cstheme="minorHAnsi"/>
          <w:b/>
          <w:bCs/>
          <w:sz w:val="32"/>
          <w:szCs w:val="32"/>
        </w:rPr>
      </w:pPr>
      <w:r w:rsidRPr="0029485D">
        <w:rPr>
          <w:rFonts w:cstheme="minorHAnsi"/>
          <w:b/>
          <w:bCs/>
          <w:sz w:val="32"/>
          <w:szCs w:val="32"/>
        </w:rPr>
        <w:t>Medical Plan</w:t>
      </w:r>
    </w:p>
    <w:p w14:paraId="76DAE036" w14:textId="64D929B5" w:rsidR="0029485D" w:rsidRDefault="0029485D" w:rsidP="0029485D">
      <w:pPr>
        <w:rPr>
          <w:rFonts w:cstheme="minorHAnsi"/>
          <w:b/>
          <w:bCs/>
          <w:sz w:val="24"/>
          <w:szCs w:val="24"/>
        </w:rPr>
      </w:pPr>
      <w:r>
        <w:rPr>
          <w:rFonts w:cstheme="minorHAnsi"/>
          <w:b/>
          <w:bCs/>
          <w:sz w:val="24"/>
          <w:szCs w:val="24"/>
        </w:rPr>
        <w:t>Anthem HDHP</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Anthem PPO</w:t>
      </w:r>
    </w:p>
    <w:p w14:paraId="79E52CEC" w14:textId="47B91A08" w:rsidR="0029485D" w:rsidRPr="0029485D" w:rsidRDefault="0029485D" w:rsidP="0029485D">
      <w:pPr>
        <w:rPr>
          <w:rFonts w:cstheme="minorHAnsi"/>
          <w:sz w:val="24"/>
          <w:szCs w:val="24"/>
        </w:rPr>
      </w:pPr>
      <w:r w:rsidRPr="0029485D">
        <w:rPr>
          <w:rFonts w:cstheme="minorHAnsi"/>
          <w:sz w:val="24"/>
          <w:szCs w:val="24"/>
        </w:rPr>
        <w:t>Single:</w:t>
      </w:r>
      <w:r w:rsidRPr="0029485D">
        <w:rPr>
          <w:rFonts w:cstheme="minorHAnsi"/>
          <w:sz w:val="24"/>
          <w:szCs w:val="24"/>
        </w:rPr>
        <w:tab/>
      </w:r>
      <w:r w:rsidRPr="0029485D">
        <w:rPr>
          <w:rFonts w:cstheme="minorHAnsi"/>
          <w:sz w:val="24"/>
          <w:szCs w:val="24"/>
        </w:rPr>
        <w:tab/>
        <w:t>$150.00</w:t>
      </w:r>
      <w:r w:rsidRPr="0029485D">
        <w:rPr>
          <w:rFonts w:cstheme="minorHAnsi"/>
          <w:sz w:val="24"/>
          <w:szCs w:val="24"/>
        </w:rPr>
        <w:tab/>
      </w:r>
      <w:r w:rsidRPr="0029485D">
        <w:rPr>
          <w:rFonts w:cstheme="minorHAnsi"/>
          <w:sz w:val="24"/>
          <w:szCs w:val="24"/>
        </w:rPr>
        <w:tab/>
        <w:t>Single:</w:t>
      </w:r>
      <w:r w:rsidRPr="0029485D">
        <w:rPr>
          <w:rFonts w:cstheme="minorHAnsi"/>
          <w:sz w:val="24"/>
          <w:szCs w:val="24"/>
        </w:rPr>
        <w:tab/>
      </w:r>
      <w:r w:rsidRPr="0029485D">
        <w:rPr>
          <w:rFonts w:cstheme="minorHAnsi"/>
          <w:sz w:val="24"/>
          <w:szCs w:val="24"/>
        </w:rPr>
        <w:tab/>
        <w:t>$163.25</w:t>
      </w:r>
    </w:p>
    <w:p w14:paraId="02704B3A" w14:textId="61659025" w:rsidR="0029485D" w:rsidRDefault="0029485D" w:rsidP="0029485D">
      <w:pPr>
        <w:rPr>
          <w:rFonts w:cstheme="minorHAnsi"/>
          <w:sz w:val="24"/>
          <w:szCs w:val="24"/>
        </w:rPr>
      </w:pPr>
      <w:r w:rsidRPr="0029485D">
        <w:rPr>
          <w:rFonts w:cstheme="minorHAnsi"/>
          <w:sz w:val="24"/>
          <w:szCs w:val="24"/>
        </w:rPr>
        <w:t>Family:</w:t>
      </w:r>
      <w:r w:rsidRPr="0029485D">
        <w:rPr>
          <w:rFonts w:cstheme="minorHAnsi"/>
          <w:sz w:val="24"/>
          <w:szCs w:val="24"/>
        </w:rPr>
        <w:tab/>
      </w:r>
      <w:r>
        <w:rPr>
          <w:rFonts w:cstheme="minorHAnsi"/>
          <w:sz w:val="24"/>
          <w:szCs w:val="24"/>
        </w:rPr>
        <w:tab/>
      </w:r>
      <w:r w:rsidRPr="0029485D">
        <w:rPr>
          <w:rFonts w:cstheme="minorHAnsi"/>
          <w:sz w:val="24"/>
          <w:szCs w:val="24"/>
        </w:rPr>
        <w:t>$411.78</w:t>
      </w:r>
      <w:r w:rsidRPr="0029485D">
        <w:rPr>
          <w:rFonts w:cstheme="minorHAnsi"/>
          <w:sz w:val="24"/>
          <w:szCs w:val="24"/>
        </w:rPr>
        <w:tab/>
      </w:r>
      <w:r w:rsidRPr="0029485D">
        <w:rPr>
          <w:rFonts w:cstheme="minorHAnsi"/>
          <w:sz w:val="24"/>
          <w:szCs w:val="24"/>
        </w:rPr>
        <w:tab/>
        <w:t xml:space="preserve">Family: </w:t>
      </w:r>
      <w:r w:rsidRPr="0029485D">
        <w:rPr>
          <w:rFonts w:cstheme="minorHAnsi"/>
          <w:sz w:val="24"/>
          <w:szCs w:val="24"/>
        </w:rPr>
        <w:tab/>
        <w:t>$448.14</w:t>
      </w:r>
    </w:p>
    <w:p w14:paraId="4FFE7911" w14:textId="77777777" w:rsidR="0029485D" w:rsidRDefault="0029485D" w:rsidP="0029485D">
      <w:pPr>
        <w:rPr>
          <w:rFonts w:cstheme="minorHAnsi"/>
          <w:sz w:val="24"/>
          <w:szCs w:val="24"/>
        </w:rPr>
      </w:pPr>
    </w:p>
    <w:p w14:paraId="51597143" w14:textId="01102F66" w:rsidR="0029485D" w:rsidRDefault="0029485D" w:rsidP="0029485D">
      <w:pPr>
        <w:rPr>
          <w:rFonts w:cstheme="minorHAnsi"/>
          <w:b/>
          <w:bCs/>
          <w:sz w:val="32"/>
          <w:szCs w:val="32"/>
        </w:rPr>
      </w:pPr>
      <w:r>
        <w:rPr>
          <w:rFonts w:cstheme="minorHAnsi"/>
          <w:b/>
          <w:bCs/>
          <w:sz w:val="32"/>
          <w:szCs w:val="32"/>
        </w:rPr>
        <w:t xml:space="preserve">Dental </w:t>
      </w:r>
      <w:r w:rsidRPr="0029485D">
        <w:rPr>
          <w:rFonts w:cstheme="minorHAnsi"/>
          <w:b/>
          <w:bCs/>
          <w:sz w:val="32"/>
          <w:szCs w:val="32"/>
        </w:rPr>
        <w:t>Plan</w:t>
      </w:r>
    </w:p>
    <w:p w14:paraId="6F5AF9A5" w14:textId="194F659E" w:rsidR="0029485D" w:rsidRDefault="0029485D" w:rsidP="0029485D">
      <w:pPr>
        <w:rPr>
          <w:rFonts w:cstheme="minorHAnsi"/>
          <w:b/>
          <w:bCs/>
          <w:sz w:val="24"/>
          <w:szCs w:val="24"/>
        </w:rPr>
      </w:pPr>
      <w:r>
        <w:rPr>
          <w:rFonts w:cstheme="minorHAnsi"/>
          <w:b/>
          <w:bCs/>
          <w:sz w:val="24"/>
          <w:szCs w:val="24"/>
        </w:rPr>
        <w:t>Delta Dental</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102814C6" w14:textId="0ABB25DC" w:rsidR="0029485D" w:rsidRPr="0029485D" w:rsidRDefault="0029485D" w:rsidP="0029485D">
      <w:pPr>
        <w:rPr>
          <w:rFonts w:cstheme="minorHAnsi"/>
          <w:sz w:val="24"/>
          <w:szCs w:val="24"/>
        </w:rPr>
      </w:pPr>
      <w:r w:rsidRPr="0029485D">
        <w:rPr>
          <w:rFonts w:cstheme="minorHAnsi"/>
          <w:sz w:val="24"/>
          <w:szCs w:val="24"/>
        </w:rPr>
        <w:t>Single:</w:t>
      </w:r>
      <w:r w:rsidRPr="0029485D">
        <w:rPr>
          <w:rFonts w:cstheme="minorHAnsi"/>
          <w:sz w:val="24"/>
          <w:szCs w:val="24"/>
        </w:rPr>
        <w:tab/>
      </w:r>
      <w:r w:rsidRPr="0029485D">
        <w:rPr>
          <w:rFonts w:cstheme="minorHAnsi"/>
          <w:sz w:val="24"/>
          <w:szCs w:val="24"/>
        </w:rPr>
        <w:tab/>
        <w:t>$</w:t>
      </w:r>
      <w:r>
        <w:rPr>
          <w:rFonts w:cstheme="minorHAnsi"/>
          <w:sz w:val="24"/>
          <w:szCs w:val="24"/>
        </w:rPr>
        <w:t>17.81</w:t>
      </w:r>
    </w:p>
    <w:p w14:paraId="2E50159A" w14:textId="108C231F" w:rsidR="0029485D" w:rsidRDefault="0029485D" w:rsidP="0029485D">
      <w:pPr>
        <w:rPr>
          <w:rFonts w:cstheme="minorHAnsi"/>
          <w:sz w:val="24"/>
          <w:szCs w:val="24"/>
        </w:rPr>
      </w:pPr>
      <w:r w:rsidRPr="0029485D">
        <w:rPr>
          <w:rFonts w:cstheme="minorHAnsi"/>
          <w:sz w:val="24"/>
          <w:szCs w:val="24"/>
        </w:rPr>
        <w:t>Family:</w:t>
      </w:r>
      <w:r w:rsidRPr="0029485D">
        <w:rPr>
          <w:rFonts w:cstheme="minorHAnsi"/>
          <w:sz w:val="24"/>
          <w:szCs w:val="24"/>
        </w:rPr>
        <w:tab/>
      </w:r>
      <w:r>
        <w:rPr>
          <w:rFonts w:cstheme="minorHAnsi"/>
          <w:sz w:val="24"/>
          <w:szCs w:val="24"/>
        </w:rPr>
        <w:tab/>
      </w:r>
      <w:r w:rsidRPr="0029485D">
        <w:rPr>
          <w:rFonts w:cstheme="minorHAnsi"/>
          <w:sz w:val="24"/>
          <w:szCs w:val="24"/>
        </w:rPr>
        <w:t>$</w:t>
      </w:r>
      <w:r>
        <w:rPr>
          <w:rFonts w:cstheme="minorHAnsi"/>
          <w:sz w:val="24"/>
          <w:szCs w:val="24"/>
        </w:rPr>
        <w:t>17.81</w:t>
      </w:r>
    </w:p>
    <w:p w14:paraId="37BD16D4" w14:textId="77777777" w:rsidR="0029485D" w:rsidRDefault="0029485D" w:rsidP="0029485D">
      <w:pPr>
        <w:rPr>
          <w:rFonts w:cstheme="minorHAnsi"/>
          <w:sz w:val="24"/>
          <w:szCs w:val="24"/>
        </w:rPr>
      </w:pPr>
    </w:p>
    <w:p w14:paraId="142B216B" w14:textId="77777777" w:rsidR="0029485D" w:rsidRDefault="0029485D" w:rsidP="0029485D">
      <w:pPr>
        <w:rPr>
          <w:rFonts w:cstheme="minorHAnsi"/>
          <w:b/>
          <w:bCs/>
          <w:sz w:val="32"/>
          <w:szCs w:val="32"/>
        </w:rPr>
      </w:pPr>
      <w:r>
        <w:rPr>
          <w:rFonts w:cstheme="minorHAnsi"/>
          <w:b/>
          <w:bCs/>
          <w:sz w:val="32"/>
          <w:szCs w:val="32"/>
        </w:rPr>
        <w:t>Vision Plan</w:t>
      </w:r>
    </w:p>
    <w:p w14:paraId="0726D803" w14:textId="14D88246" w:rsidR="0029485D" w:rsidRDefault="0029485D" w:rsidP="0029485D">
      <w:pPr>
        <w:rPr>
          <w:rFonts w:cstheme="minorHAnsi"/>
          <w:b/>
          <w:bCs/>
          <w:sz w:val="24"/>
          <w:szCs w:val="24"/>
        </w:rPr>
      </w:pPr>
      <w:r>
        <w:rPr>
          <w:rFonts w:cstheme="minorHAnsi"/>
          <w:b/>
          <w:bCs/>
          <w:sz w:val="24"/>
          <w:szCs w:val="24"/>
        </w:rPr>
        <w:t>VSP Option 1</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VSP Option 2</w:t>
      </w:r>
    </w:p>
    <w:p w14:paraId="78398F21" w14:textId="08F6FB49" w:rsidR="0029485D" w:rsidRPr="0029485D" w:rsidRDefault="0029485D" w:rsidP="0029485D">
      <w:pPr>
        <w:rPr>
          <w:rFonts w:cstheme="minorHAnsi"/>
          <w:sz w:val="24"/>
          <w:szCs w:val="24"/>
        </w:rPr>
      </w:pPr>
      <w:r w:rsidRPr="0029485D">
        <w:rPr>
          <w:rFonts w:cstheme="minorHAnsi"/>
          <w:sz w:val="24"/>
          <w:szCs w:val="24"/>
        </w:rPr>
        <w:t>Single:</w:t>
      </w:r>
      <w:r w:rsidRPr="0029485D">
        <w:rPr>
          <w:rFonts w:cstheme="minorHAnsi"/>
          <w:sz w:val="24"/>
          <w:szCs w:val="24"/>
        </w:rPr>
        <w:tab/>
      </w:r>
      <w:r w:rsidRPr="0029485D">
        <w:rPr>
          <w:rFonts w:cstheme="minorHAnsi"/>
          <w:sz w:val="24"/>
          <w:szCs w:val="24"/>
        </w:rPr>
        <w:tab/>
        <w:t>$</w:t>
      </w:r>
      <w:r>
        <w:rPr>
          <w:rFonts w:cstheme="minorHAnsi"/>
          <w:sz w:val="24"/>
          <w:szCs w:val="24"/>
        </w:rPr>
        <w:t>7.89</w:t>
      </w:r>
      <w:r>
        <w:rPr>
          <w:rFonts w:cstheme="minorHAnsi"/>
          <w:sz w:val="24"/>
          <w:szCs w:val="24"/>
        </w:rPr>
        <w:tab/>
      </w:r>
      <w:r w:rsidRPr="0029485D">
        <w:rPr>
          <w:rFonts w:cstheme="minorHAnsi"/>
          <w:sz w:val="24"/>
          <w:szCs w:val="24"/>
        </w:rPr>
        <w:tab/>
      </w:r>
      <w:r w:rsidRPr="0029485D">
        <w:rPr>
          <w:rFonts w:cstheme="minorHAnsi"/>
          <w:sz w:val="24"/>
          <w:szCs w:val="24"/>
        </w:rPr>
        <w:tab/>
        <w:t>Single:</w:t>
      </w:r>
      <w:r w:rsidRPr="0029485D">
        <w:rPr>
          <w:rFonts w:cstheme="minorHAnsi"/>
          <w:sz w:val="24"/>
          <w:szCs w:val="24"/>
        </w:rPr>
        <w:tab/>
      </w:r>
      <w:r w:rsidRPr="0029485D">
        <w:rPr>
          <w:rFonts w:cstheme="minorHAnsi"/>
          <w:sz w:val="24"/>
          <w:szCs w:val="24"/>
        </w:rPr>
        <w:tab/>
        <w:t>$</w:t>
      </w:r>
      <w:r>
        <w:rPr>
          <w:rFonts w:cstheme="minorHAnsi"/>
          <w:sz w:val="24"/>
          <w:szCs w:val="24"/>
        </w:rPr>
        <w:t>10.02</w:t>
      </w:r>
    </w:p>
    <w:p w14:paraId="5334CCFD" w14:textId="3002628D" w:rsidR="0029485D" w:rsidRPr="0029485D" w:rsidRDefault="0029485D" w:rsidP="0029485D">
      <w:pPr>
        <w:rPr>
          <w:rFonts w:cstheme="minorHAnsi"/>
          <w:sz w:val="24"/>
          <w:szCs w:val="24"/>
        </w:rPr>
      </w:pPr>
      <w:r w:rsidRPr="0029485D">
        <w:rPr>
          <w:rFonts w:cstheme="minorHAnsi"/>
          <w:sz w:val="24"/>
          <w:szCs w:val="24"/>
        </w:rPr>
        <w:t>Family:</w:t>
      </w:r>
      <w:r w:rsidRPr="0029485D">
        <w:rPr>
          <w:rFonts w:cstheme="minorHAnsi"/>
          <w:sz w:val="24"/>
          <w:szCs w:val="24"/>
        </w:rPr>
        <w:tab/>
      </w:r>
      <w:r>
        <w:rPr>
          <w:rFonts w:cstheme="minorHAnsi"/>
          <w:sz w:val="24"/>
          <w:szCs w:val="24"/>
        </w:rPr>
        <w:tab/>
      </w:r>
      <w:r w:rsidRPr="0029485D">
        <w:rPr>
          <w:rFonts w:cstheme="minorHAnsi"/>
          <w:sz w:val="24"/>
          <w:szCs w:val="24"/>
        </w:rPr>
        <w:t>$</w:t>
      </w:r>
      <w:r>
        <w:rPr>
          <w:rFonts w:cstheme="minorHAnsi"/>
          <w:sz w:val="24"/>
          <w:szCs w:val="24"/>
        </w:rPr>
        <w:t>18.36</w:t>
      </w:r>
      <w:r>
        <w:rPr>
          <w:rFonts w:cstheme="minorHAnsi"/>
          <w:sz w:val="24"/>
          <w:szCs w:val="24"/>
        </w:rPr>
        <w:tab/>
      </w:r>
      <w:r w:rsidRPr="0029485D">
        <w:rPr>
          <w:rFonts w:cstheme="minorHAnsi"/>
          <w:sz w:val="24"/>
          <w:szCs w:val="24"/>
        </w:rPr>
        <w:tab/>
      </w:r>
      <w:r w:rsidRPr="0029485D">
        <w:rPr>
          <w:rFonts w:cstheme="minorHAnsi"/>
          <w:sz w:val="24"/>
          <w:szCs w:val="24"/>
        </w:rPr>
        <w:tab/>
        <w:t xml:space="preserve">Family: </w:t>
      </w:r>
      <w:r w:rsidRPr="0029485D">
        <w:rPr>
          <w:rFonts w:cstheme="minorHAnsi"/>
          <w:sz w:val="24"/>
          <w:szCs w:val="24"/>
        </w:rPr>
        <w:tab/>
        <w:t>$</w:t>
      </w:r>
      <w:r>
        <w:rPr>
          <w:rFonts w:cstheme="minorHAnsi"/>
          <w:sz w:val="24"/>
          <w:szCs w:val="24"/>
        </w:rPr>
        <w:t>23.44</w:t>
      </w:r>
    </w:p>
    <w:p w14:paraId="60C7AC83" w14:textId="77777777" w:rsidR="0029485D" w:rsidRPr="0029485D" w:rsidRDefault="0029485D" w:rsidP="0029485D">
      <w:pPr>
        <w:rPr>
          <w:rFonts w:cstheme="minorHAnsi"/>
          <w:sz w:val="24"/>
          <w:szCs w:val="24"/>
        </w:rPr>
      </w:pPr>
    </w:p>
    <w:p w14:paraId="77ACB605" w14:textId="77777777" w:rsidR="0029485D" w:rsidRPr="00FB4E36" w:rsidRDefault="0029485D" w:rsidP="0029485D">
      <w:pPr>
        <w:rPr>
          <w:rFonts w:cstheme="minorHAnsi"/>
          <w:b/>
          <w:bCs/>
          <w:sz w:val="36"/>
          <w:szCs w:val="36"/>
        </w:rPr>
      </w:pPr>
    </w:p>
    <w:p w14:paraId="3AF4956E" w14:textId="50D8D75E" w:rsidR="001F53F3" w:rsidRDefault="00D82651" w:rsidP="00A56570">
      <w:pPr>
        <w:jc w:val="center"/>
      </w:pPr>
      <w:r>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806A4" w14:textId="77777777" w:rsidR="00A11E71" w:rsidRDefault="00A11E71" w:rsidP="000C568E">
      <w:pPr>
        <w:spacing w:after="0" w:line="240" w:lineRule="auto"/>
      </w:pPr>
      <w:r>
        <w:separator/>
      </w:r>
    </w:p>
  </w:endnote>
  <w:endnote w:type="continuationSeparator" w:id="0">
    <w:p w14:paraId="08F610B7" w14:textId="77777777" w:rsidR="00A11E71" w:rsidRDefault="00A11E71"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0F4D1" w14:textId="77777777" w:rsidR="00A11E71" w:rsidRDefault="00A11E71" w:rsidP="000C568E">
      <w:pPr>
        <w:spacing w:after="0" w:line="240" w:lineRule="auto"/>
      </w:pPr>
      <w:r>
        <w:separator/>
      </w:r>
    </w:p>
  </w:footnote>
  <w:footnote w:type="continuationSeparator" w:id="0">
    <w:p w14:paraId="243A6F72" w14:textId="77777777" w:rsidR="00A11E71" w:rsidRDefault="00A11E71"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11256">
    <w:abstractNumId w:val="0"/>
  </w:num>
  <w:num w:numId="2" w16cid:durableId="993410158">
    <w:abstractNumId w:val="1"/>
  </w:num>
  <w:num w:numId="3" w16cid:durableId="125994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1275FF"/>
    <w:rsid w:val="001642F0"/>
    <w:rsid w:val="00165B4F"/>
    <w:rsid w:val="00183752"/>
    <w:rsid w:val="001C2757"/>
    <w:rsid w:val="001F53F3"/>
    <w:rsid w:val="002234CF"/>
    <w:rsid w:val="0029485D"/>
    <w:rsid w:val="002B0BD8"/>
    <w:rsid w:val="00356AFC"/>
    <w:rsid w:val="00371808"/>
    <w:rsid w:val="003838AB"/>
    <w:rsid w:val="003A549F"/>
    <w:rsid w:val="00420B2E"/>
    <w:rsid w:val="004520A4"/>
    <w:rsid w:val="00454429"/>
    <w:rsid w:val="00465CC5"/>
    <w:rsid w:val="0049011D"/>
    <w:rsid w:val="004913EA"/>
    <w:rsid w:val="004C285A"/>
    <w:rsid w:val="004E13EF"/>
    <w:rsid w:val="005C122E"/>
    <w:rsid w:val="005F2DD2"/>
    <w:rsid w:val="00622303"/>
    <w:rsid w:val="006A573C"/>
    <w:rsid w:val="006C32F1"/>
    <w:rsid w:val="006C6EE2"/>
    <w:rsid w:val="007150B2"/>
    <w:rsid w:val="00716C22"/>
    <w:rsid w:val="0073046C"/>
    <w:rsid w:val="00762756"/>
    <w:rsid w:val="0077230A"/>
    <w:rsid w:val="00783DD8"/>
    <w:rsid w:val="007A7F5A"/>
    <w:rsid w:val="007E0CFB"/>
    <w:rsid w:val="00827681"/>
    <w:rsid w:val="00843E3E"/>
    <w:rsid w:val="008D2569"/>
    <w:rsid w:val="008E455C"/>
    <w:rsid w:val="008F5A76"/>
    <w:rsid w:val="00930446"/>
    <w:rsid w:val="00947A77"/>
    <w:rsid w:val="009521EE"/>
    <w:rsid w:val="009E47A8"/>
    <w:rsid w:val="00A11E71"/>
    <w:rsid w:val="00A56570"/>
    <w:rsid w:val="00A67EE5"/>
    <w:rsid w:val="00AB3E8A"/>
    <w:rsid w:val="00AC1A5C"/>
    <w:rsid w:val="00AE29A7"/>
    <w:rsid w:val="00B1363F"/>
    <w:rsid w:val="00B92130"/>
    <w:rsid w:val="00BA231E"/>
    <w:rsid w:val="00BA3A1E"/>
    <w:rsid w:val="00C00779"/>
    <w:rsid w:val="00C51DBB"/>
    <w:rsid w:val="00C548CF"/>
    <w:rsid w:val="00C55103"/>
    <w:rsid w:val="00C561B6"/>
    <w:rsid w:val="00C66E88"/>
    <w:rsid w:val="00C949F5"/>
    <w:rsid w:val="00CA3540"/>
    <w:rsid w:val="00CD6528"/>
    <w:rsid w:val="00D04F31"/>
    <w:rsid w:val="00D607EB"/>
    <w:rsid w:val="00D81890"/>
    <w:rsid w:val="00D82651"/>
    <w:rsid w:val="00D94ACD"/>
    <w:rsid w:val="00E20BA1"/>
    <w:rsid w:val="00EA297A"/>
    <w:rsid w:val="00EF4EB0"/>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grant-ct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2A7-D583-4233-A25A-E67DD08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6</cp:revision>
  <cp:lastPrinted>2017-09-15T17:16:00Z</cp:lastPrinted>
  <dcterms:created xsi:type="dcterms:W3CDTF">2024-08-16T13:06:00Z</dcterms:created>
  <dcterms:modified xsi:type="dcterms:W3CDTF">2024-09-17T19:24:00Z</dcterms:modified>
</cp:coreProperties>
</file>